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Comité social et économique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Checklist de contrôle des clauses du règlement intérieur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B87E00"/>
          <w:sz w:val="19"/>
          <w:szCs w:val="19"/>
        </w:rPr>
        <w:t xml:space="preserve">À renseigner avant la réunion d’adoption</w:t>
      </w:r>
    </w:p>
    <w:tbl>
      <w:tblPr>
        <w:tblW w:type="dxa" w:w="9638"/>
        <w:tblBorders>
          <w:top w:val="single" w:color="D5DEEA" w:sz="6"/>
          <w:left w:val="single" w:color="16294A" w:sz="18"/>
          <w:bottom w:val="single" w:color="D5DEEA" w:sz="6"/>
          <w:right w:val="single" w:color="D5DEEA" w:sz="6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shd w:fill="F4F8FC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90"/>
            </w:pPr>
            <w:r>
              <w:rPr>
                <w:rFonts w:ascii="Calibri" w:cs="Calibri" w:eastAsia="Calibri" w:hAnsi="Calibri"/>
                <w:b/>
                <w:bCs/>
                <w:color w:val="16294A"/>
                <w:sz w:val="21"/>
                <w:szCs w:val="21"/>
              </w:rPr>
              <w:t xml:space="preserve">Mode d’emploi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Cochez chaque ligne après vérification. Une ligne laissée vide dans la section A signale une obligation légale sans support ; une ligne cochée dans la section D signale une clause à retirer impérativement du projet.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La section C ne désigne pas des clauses interdites : elles supposent l’accord exprès de l’employeur, lequel vaut engagement unilatéral dénonçable après information des élus et respect d’un délai raisonnable.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Comité : [dénomination]  –  Date du contrôle : [date]  –  Contrôle effectué par : [nom, prénom, qualité]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A. Les cinq matières que la loi renvoie au règlement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6200"/>
        <w:gridCol w:w="2438"/>
        <w:gridCol w:w="1000"/>
      </w:tblGrid>
      <w:tr>
        <w:trPr>
          <w:tblHeader/>
        </w:trPr>
        <w:tc>
          <w:tcPr>
            <w:tcW w:type="dxa" w:w="62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 à vérifier</w:t>
            </w:r>
          </w:p>
        </w:tc>
        <w:tc>
          <w:tcPr>
            <w:tcW w:type="dxa" w:w="243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Fondement</w:t>
            </w:r>
          </w:p>
        </w:tc>
        <w:tc>
          <w:tcPr>
            <w:tcW w:type="dxa" w:w="1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Conforme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Les modalités d’arrêté des comptes annuels sont prévues : élus désignés, durée, calendrier.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2315-68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La séance d’approbation des comptes est consacrée à ce seul sujet et donne lieu à un procès-verbal spécifique.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2315-68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Les modalités d’établissement du rapport sur les activités et la gestion financière sont fixées.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2315-69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Les modalités de diffusion du procès-verbal après adoption sont précisées.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2315-35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À défaut d’accord, les six modalités de la commission santé, sécurité et conditions de travail sont définies.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2315-44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 compte rendu annuel de la commission des marchés est organisé, si le comité franchit les seuils.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2315-44-2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B. Les clauses licites relevant de l’autonomie du comité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6200"/>
        <w:gridCol w:w="2438"/>
        <w:gridCol w:w="1000"/>
      </w:tblGrid>
      <w:tr>
        <w:trPr>
          <w:tblHeader/>
        </w:trPr>
        <w:tc>
          <w:tcPr>
            <w:tcW w:type="dxa" w:w="62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 à vérifier</w:t>
            </w:r>
          </w:p>
        </w:tc>
        <w:tc>
          <w:tcPr>
            <w:tcW w:type="dxa" w:w="243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Fondement</w:t>
            </w:r>
          </w:p>
        </w:tc>
        <w:tc>
          <w:tcPr>
            <w:tcW w:type="dxa" w:w="1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Conforme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Chaque délégation énonce un objet, un montant maximal, une durée et une obligation de compte rendu.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La règle de départage en cas de partage des voix est écrite, ou le bénéfice de l’âge est assumé.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Cass. soc., 30 nov. 2011, n° 10-23.986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La procédure de révocation d’un membre du bureau préserve les droits de la défense.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Les seuils financiers sont calibrés sur le budget annuel réel du comité.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Les paramètres appelés à évoluer figurent en annexe, avec une procédure de mise à jour votée.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La procédure de révision du règlement est prévue par le texte lui-même.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C. Les clauses qui supposent l’accord exprès de l’employeur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6200"/>
        <w:gridCol w:w="2438"/>
        <w:gridCol w:w="1000"/>
      </w:tblGrid>
      <w:tr>
        <w:trPr>
          <w:tblHeader/>
        </w:trPr>
        <w:tc>
          <w:tcPr>
            <w:tcW w:type="dxa" w:w="62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 à vérifier</w:t>
            </w:r>
          </w:p>
        </w:tc>
        <w:tc>
          <w:tcPr>
            <w:tcW w:type="dxa" w:w="243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Fondement</w:t>
            </w:r>
          </w:p>
        </w:tc>
        <w:tc>
          <w:tcPr>
            <w:tcW w:type="dxa" w:w="1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Conforme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Heures de délégation supplémentaires financées par l’entreprise.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2315-24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Convocation et rémunération systématiques des suppléants.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2315-24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Mise à disposition d’un salarié permanent rémunéré par l’entreprise.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2315-24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Fourniture d’un matériel déterminé ou prise en charge de frais annexes.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2315-24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Réunions supplémentaires rémunérées comme temps de travail.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2315-24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Indemnités ou remboursements non prévus par la loi ou les accords.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Cass. soc., 26 mars 2025, n° 23-16.219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D. Les clauses nulles à supprimer avant le vote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6200"/>
        <w:gridCol w:w="2438"/>
        <w:gridCol w:w="1000"/>
      </w:tblGrid>
      <w:tr>
        <w:trPr>
          <w:tblHeader/>
        </w:trPr>
        <w:tc>
          <w:tcPr>
            <w:tcW w:type="dxa" w:w="62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 à vérifier</w:t>
            </w:r>
          </w:p>
        </w:tc>
        <w:tc>
          <w:tcPr>
            <w:tcW w:type="dxa" w:w="243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Fondement</w:t>
            </w:r>
          </w:p>
        </w:tc>
        <w:tc>
          <w:tcPr>
            <w:tcW w:type="dxa" w:w="1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Conforme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Inscription automatique à l’ordre du jour des questions transmises par les élus.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Cass. soc., 4 oct. 2023, n° 22-10.716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Délégation à la CSSCT du pouvoir de rendre un avis ou de recourir à une expertise.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2315-38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Voix délibérative permanente accordée aux suppléants.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2314-1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Quorum ou règle de majorité différente de la majorité des membres présents.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2315-32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Exclusion du président du vote de désignation du secrétaire ou du trésorier.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Cass. soc., 25 sept. 2013, n° 12-14.489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Condition d’ancienneté pour l’accès aux activités sociales et culturelles.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Cass. soc., 3 avril 2024, n° 22-16.812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Transfert au bureau de la représentation ou du pouvoir de décision du comité.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2315-23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</w:tbl>
    <w:p>
      <w:pPr>
        <w:spacing w:after="120" w:before="32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E. La procédure d’adoption</w:t>
      </w:r>
    </w:p>
    <w:tbl>
      <w:tblPr>
        <w:tblW w:type="dxa" w:w="9638"/>
        <w:tblBorders>
          <w:top w:val="single" w:color="E3E8EF" w:sz="4"/>
          <w:left w:val="single" w:color="E3E8EF" w:sz="4"/>
          <w:bottom w:val="single" w:color="E3E8EF" w:sz="4"/>
          <w:right w:val="single" w:color="E3E8EF" w:sz="4"/>
          <w:insideH w:val="single" w:color="E8EDF3" w:sz="4"/>
          <w:insideV w:val="single" w:color="E8EDF3" w:sz="4"/>
        </w:tblBorders>
      </w:tblPr>
      <w:tblGrid>
        <w:gridCol w:w="6200"/>
        <w:gridCol w:w="2438"/>
        <w:gridCol w:w="1000"/>
      </w:tblGrid>
      <w:tr>
        <w:trPr>
          <w:tblHeader/>
        </w:trPr>
        <w:tc>
          <w:tcPr>
            <w:tcW w:type="dxa" w:w="62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Point à vérifier</w:t>
            </w:r>
          </w:p>
        </w:tc>
        <w:tc>
          <w:tcPr>
            <w:tcW w:type="dxa" w:w="2438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Fondement</w:t>
            </w:r>
          </w:p>
        </w:tc>
        <w:tc>
          <w:tcPr>
            <w:tcW w:type="dxa" w:w="1000"/>
            <w:shd w:fill="16294A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Conforme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L’adoption figure expressément à l’ordre du jour.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2315-29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 projet a été transmis avec la convocation ou suffisamment tôt.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 vote intervient à la majorité des membres présents, abstentions comprises.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2315-32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Le procès-verbal mentionne le texte, les amendements, les voix et la date d’entrée en vigueur.</w:t>
            </w:r>
          </w:p>
        </w:tc>
        <w:tc>
          <w:tcPr>
            <w:tcW w:type="dxa" w:w="2438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—</w:t>
            </w:r>
          </w:p>
        </w:tc>
        <w:tc>
          <w:tcPr>
            <w:tcW w:type="dxa" w:w="1000"/>
            <w:shd w:fill="F7FAFD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62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6294A"/>
                <w:sz w:val="19"/>
                <w:szCs w:val="19"/>
              </w:rPr>
              <w:t xml:space="preserve">L’accord de l’employeur sur les clauses qui le concernent est consigné par écrit.</w:t>
            </w:r>
          </w:p>
        </w:tc>
        <w:tc>
          <w:tcPr>
            <w:tcW w:type="dxa" w:w="2438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L. 2315-24</w:t>
            </w:r>
          </w:p>
        </w:tc>
        <w:tc>
          <w:tcPr>
            <w:tcW w:type="dxa" w:w="1000"/>
            <w:shd w:fill="FFFFFF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☐</w:t>
            </w:r>
          </w:p>
        </w:tc>
      </w:tr>
    </w:tbl>
    <w:p>
      <w:pPr>
        <w:spacing w:after="30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90" w:before="200"/>
      </w:pPr>
      <w:r>
        <w:rPr>
          <w:rFonts w:ascii="Calibri" w:cs="Calibri" w:eastAsia="Calibri" w:hAnsi="Calibri"/>
          <w:b/>
          <w:bCs/>
          <w:color w:val="16294A"/>
          <w:sz w:val="22"/>
          <w:szCs w:val="22"/>
        </w:rPr>
        <w:t xml:space="preserve">Observations et clauses à reprendre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B87E00"/>
          <w:sz w:val="21"/>
          <w:szCs w:val="21"/>
        </w:rPr>
        <w:t xml:space="preserve">[Indiquez ici les articles à réécrire, la version proposée et l’élu chargé de la correction.]</w:t>
      </w:r>
    </w:p>
    <w:p>
      <w:pPr>
        <w:spacing w:after="30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spacing w:after="110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Osez Vos Droits — osezvosdroits.com — Fabrice Allegoet, formateur certifié en droit social. Document gratuit, à adapter par le comité. À jour au 28 juillet 2026.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2026-07-28T10:12:51.688Z</dcterms:created>
  <dcterms:modified xsi:type="dcterms:W3CDTF">2026-07-28T10:12:51.688Z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