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Comité social et économique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Délibération portant adoption du règlement intérieur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B87E00"/>
          <w:sz w:val="19"/>
          <w:szCs w:val="19"/>
        </w:rPr>
        <w:t xml:space="preserve">Articles L. 2315-24 et L. 2315-32 du Code du travail</w:t>
      </w:r>
    </w:p>
    <w:tbl>
      <w:tblPr>
        <w:tblW w:type="dxa" w:w="9638"/>
        <w:tblBorders>
          <w:top w:val="single" w:color="D5DEEA" w:sz="6"/>
          <w:left w:val="single" w:color="16294A" w:sz="18"/>
          <w:bottom w:val="single" w:color="D5DEEA" w:sz="6"/>
          <w:right w:val="single" w:color="D5DEEA" w:sz="6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shd w:fill="F4F8F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90"/>
            </w:pPr>
            <w:r>
              <w:rPr>
                <w:rFonts w:ascii="Calibri" w:cs="Calibri" w:eastAsia="Calibri" w:hAnsi="Calibri"/>
                <w:b/>
                <w:bCs/>
                <w:color w:val="16294A"/>
                <w:sz w:val="21"/>
                <w:szCs w:val="21"/>
              </w:rPr>
              <w:t xml:space="preserve">Mode d’emploi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Les mentions entre crochets sont à remplacer. Supprimez les variantes qui ne correspondent pas à votre situation.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L’adoption figure expressément à l’ordre du jour de la réunion et le projet est transmis assez tôt pour permettre son examen.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résolution est prise à la majorité des membres présents (article L. 2315-32). Le président prend part au vote : il est en droit de participer aux décisions d’administration interne du comité et aucune clause du règlement ne peut l’en priver (Cass. soc., 25 septembre 2013, n° 12-14.489).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Une clause mettant à la charge de l’employeur une obligation ne résultant pas de la loi suppose son accord exprès, qui vaut engagement unilatéral dénonçable (article L. 2315-24).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1. Identification de la réunion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social et économique de la société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[dénomination sociale]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, réuni le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[date]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 à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[lieu]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, sous la présidence de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 du président ou de son représentant]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, procède à l’adoption de son règlement intérieur en application de l’article L. 2315-24 du Code du travail.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Membres titulaires présents disposant du droit de vote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Membres suppléants remplaçant un titulaire absent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Nombre total de voix délibératives, président compris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point figurait à l’ordre du jour établi conjointement par le président et le secrétaire sous l’intitulé « Adoption du règlement intérieur du comité ».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2. Rappel de la procédure d’examen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projet a été transmis aux membres du comité le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[date]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, soit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 jours avant la séance. Il a été préparé par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[groupe de travail / secrétaire / commission ad hoc]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président rappelle la portée de l’article L. 2315-24 : le règlement fixe les modalités de fonctionnement du comité et de ses rapports avec les salariés, sans pouvoir imposer à l’employeur d’obligations étrangères à la loi sans son accord.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3. Vote sur les clauses ayant fait l’objet d’un débat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Variante à conserver si le comité a procédé à un vote article par article sur les clauses sensibles.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2200"/>
        <w:gridCol w:w="3500"/>
        <w:gridCol w:w="1500"/>
        <w:gridCol w:w="1219"/>
        <w:gridCol w:w="1219"/>
      </w:tblGrid>
      <w:tr>
        <w:trPr>
          <w:tblHeader/>
        </w:trPr>
        <w:tc>
          <w:tcPr>
            <w:tcW w:type="dxa" w:w="2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Article</w:t>
            </w:r>
          </w:p>
        </w:tc>
        <w:tc>
          <w:tcPr>
            <w:tcW w:type="dxa" w:w="35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Objet</w:t>
            </w:r>
          </w:p>
        </w:tc>
        <w:tc>
          <w:tcPr>
            <w:tcW w:type="dxa" w:w="15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Pour</w:t>
            </w:r>
          </w:p>
        </w:tc>
        <w:tc>
          <w:tcPr>
            <w:tcW w:type="dxa" w:w="1219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Contre</w:t>
            </w:r>
          </w:p>
        </w:tc>
        <w:tc>
          <w:tcPr>
            <w:tcW w:type="dxa" w:w="1219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Abst.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[art.]</w:t>
            </w:r>
          </w:p>
        </w:tc>
        <w:tc>
          <w:tcPr>
            <w:tcW w:type="dxa" w:w="35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[objet de la clause]</w:t>
            </w:r>
          </w:p>
        </w:tc>
        <w:tc>
          <w:tcPr>
            <w:tcW w:type="dxa" w:w="15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</w:tr>
      <w:tr>
        <w:tc>
          <w:tcPr>
            <w:tcW w:type="dxa" w:w="2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[art.]</w:t>
            </w:r>
          </w:p>
        </w:tc>
        <w:tc>
          <w:tcPr>
            <w:tcW w:type="dxa" w:w="35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[objet de la clause]</w:t>
            </w:r>
          </w:p>
        </w:tc>
        <w:tc>
          <w:tcPr>
            <w:tcW w:type="dxa" w:w="15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[art.]</w:t>
            </w:r>
          </w:p>
        </w:tc>
        <w:tc>
          <w:tcPr>
            <w:tcW w:type="dxa" w:w="35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[objet de la clause]</w:t>
            </w:r>
          </w:p>
        </w:tc>
        <w:tc>
          <w:tcPr>
            <w:tcW w:type="dxa" w:w="15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  <w:tc>
          <w:tcPr>
            <w:tcW w:type="dxa" w:w="12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[n]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Amendements adoptés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[liste des amendements et de leur numéro d’article]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4. Clauses supposant l’accord de l’employeur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Les clauses suivantes mettent à la charge de l’employeur une obligation ne résultant pas de dispositions légales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[articles concernés et objet]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Variante 1 — accord donné : le président déclare accepter ces clauses. Cet accord constitue un engagement unilatéral de l’employeur, qu’il pourra dénoncer à l’issue d’un délai raisonnable et après en avoir informé les membres de la délégation du personnel.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Variante 2 — accord refusé : le président déclare ne pas accepter ces clauses. Le comité les retire du projet avant le vote d’ensemble.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Variante 3 — aucune clause de cette nature ne figure au projet.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5. Vote sur le texte consolidé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Mode de scrutin retenu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[main levée / bulletin secret]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Nombre de votants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Voix pour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Voix contre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Abstentions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La résolution est adoptée dès lors qu’elle recueille la majorité des membres présents disposant d’une voix délibérative, les abstentions étant comprises dans le décompte. Une égalité de voix entraîne le rejet.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6. Résolution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social et économique adopte le règlement intérieur annexé à la présente délibération, composé de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 articles répartis en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 titres, ainsi que ses annexes.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règlement entre en vigueur le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[date]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 Un exemplaire est remis à chaque membre du comité et au président. Il est diffusé aux salariés selon les modalités suivantes :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[support et périmètre de diffusion]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charge le secrétaire de l’archivage de la version adoptée et de la conservation des versions successives.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7. Révision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Toute proposition de modification émane du président, du secrétaire ou de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[nombre]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 membres du comité. Elle est inscrite à l’ordre du jour et votée dans les mêmes conditions de majorité que l’adoption initiale.</w:t>
      </w:r>
    </w:p>
    <w:p>
      <w:pPr>
        <w:spacing w:after="12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Une revue du règlement est programmée le </w:t>
      </w: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[date de la revue annuelle ou de mi-mandat]</w:t>
      </w:r>
      <w:r>
        <w:rPr>
          <w:rFonts w:ascii="Calibri" w:cs="Calibri" w:eastAsia="Calibri" w:hAnsi="Calibri"/>
          <w:color w:val="22303F"/>
          <w:sz w:val="21"/>
          <w:szCs w:val="21"/>
        </w:rPr>
        <w:t xml:space="preserve">.</w:t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8. Signatures</w:t>
      </w:r>
    </w:p>
    <w:p>
      <w:pPr>
        <w:spacing w:after="20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4819"/>
        <w:gridCol w:w="4819"/>
      </w:tblGrid>
      <w:tr>
        <w:trPr>
          <w:tblHeader/>
        </w:trPr>
        <w:tc>
          <w:tcPr>
            <w:tcW w:type="dxa" w:w="4819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Le président du comité</w:t>
            </w:r>
          </w:p>
        </w:tc>
        <w:tc>
          <w:tcPr>
            <w:tcW w:type="dxa" w:w="4819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Le secrétaire du comité</w:t>
            </w:r>
          </w:p>
        </w:tc>
      </w:tr>
      <w:tr>
        <w:tc>
          <w:tcPr>
            <w:tcW w:type="dxa" w:w="48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[nom, prénom]</w:t>
            </w:r>
          </w:p>
        </w:tc>
        <w:tc>
          <w:tcPr>
            <w:tcW w:type="dxa" w:w="48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[nom, prénom]</w:t>
            </w:r>
          </w:p>
        </w:tc>
      </w:tr>
      <w:tr>
        <w:tc>
          <w:tcPr>
            <w:tcW w:type="dxa" w:w="4819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Signature :</w:t>
            </w:r>
          </w:p>
        </w:tc>
        <w:tc>
          <w:tcPr>
            <w:tcW w:type="dxa" w:w="4819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Signature :</w:t>
            </w:r>
          </w:p>
        </w:tc>
      </w:tr>
      <w:tr>
        <w:tc>
          <w:tcPr>
            <w:tcW w:type="dxa" w:w="48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/>
            </w:r>
          </w:p>
        </w:tc>
        <w:tc>
          <w:tcPr>
            <w:tcW w:type="dxa" w:w="4819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/>
            </w:r>
          </w:p>
        </w:tc>
      </w:tr>
    </w:tbl>
    <w:p>
      <w:pPr>
        <w:spacing w:after="30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10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Osez Vos Droits — osezvosdroits.com — Fabrice Allegoet, formateur certifié en droit social. Document gratuit, à adapter par le comité. À jour au 28 juillet 2026.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2026-07-28T10:12:51.749Z</dcterms:created>
  <dcterms:modified xsi:type="dcterms:W3CDTF">2026-07-28T10:12:51.749Z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