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C08A2D"/>
          <w:sz w:val="17"/>
          <w:szCs w:val="17"/>
        </w:rPr>
        <w:t xml:space="preserve">MODÈLE À PERSONNALISER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F3A5F"/>
          <w:sz w:val="34"/>
          <w:szCs w:val="34"/>
        </w:rPr>
        <w:t xml:space="preserve">Délibération portant avis motivé du CSE</w:t>
      </w:r>
    </w:p>
    <w:p>
      <w:pPr>
        <w:pBdr>
          <w:bottom w:val="single" w:color="C08A2D" w:sz="12" w:space="6"/>
        </w:pBdr>
        <w:spacing w:after="260"/>
      </w:pPr>
      <w:r>
        <w:rPr>
          <w:rFonts w:ascii="Calibri" w:cs="Calibri" w:eastAsia="Calibri" w:hAnsi="Calibri"/>
          <w:i/>
          <w:iCs/>
          <w:color w:val="5C6B7A"/>
          <w:sz w:val="19"/>
          <w:szCs w:val="19"/>
        </w:rPr>
        <w:t xml:space="preserve">Consultation ponctuelle ou récurrente — articles L. 2312-14 à L. 2312-16 et L. 2315-32 du Code du travail</w:t>
      </w:r>
    </w:p>
    <w:p>
      <w:pPr>
        <w:pBdr>
          <w:left w:val="single" w:color="C08A2D" w:sz="18" w:space="6"/>
        </w:pBdr>
        <w:shd w:fill="FBF7EC" w:val="clear"/>
        <w:spacing w:after="120" w:line="264"/>
        <w:ind w:left="170" w:right="170"/>
      </w:pPr>
      <w:r>
        <w:rPr>
          <w:rFonts w:ascii="Calibri" w:cs="Calibri" w:eastAsia="Calibri" w:hAnsi="Calibri"/>
          <w:i/>
          <w:iCs/>
          <w:color w:val="6A5527"/>
          <w:sz w:val="19"/>
          <w:szCs w:val="19"/>
        </w:rPr>
        <w:t xml:space="preserve">Mode d’emploi. Les zones grisées se complètent avant la séance. Les rubriques 4 à 8 constituent le cœur de l’avis — ce sont elles que le juge examine lorsque le comité conteste ensuite la régularité de la procédure. Une rubrique sans objet se supprime, elle ne se laisse pas vide.</w:t>
      </w:r>
    </w:p>
    <w:p>
      <w:pPr>
        <w:pStyle w:val="Heading1"/>
        <w:spacing w:after="160" w:before="320"/>
      </w:pPr>
      <w:r>
        <w:rPr>
          <w:rFonts w:ascii="Calibri" w:cs="Calibri" w:eastAsia="Calibri" w:hAnsi="Calibri"/>
          <w:b/>
          <w:bCs/>
          <w:caps/>
          <w:color w:val="1F3A5F"/>
          <w:sz w:val="26"/>
          <w:szCs w:val="26"/>
        </w:rPr>
        <w:t xml:space="preserve">1. Identification de la séance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rPr>
          <w:tblHeader/>
        </w:trPr>
        <w:tc>
          <w:tcPr>
            <w:tcW w:type="dxa" w:w="2600"/>
            <w:shd w:fill="1F3A5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Rubrique</w:t>
            </w:r>
          </w:p>
        </w:tc>
        <w:tc>
          <w:tcPr>
            <w:tcW w:type="dxa" w:w="6760"/>
            <w:shd w:fill="1F3A5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À compléter</w:t>
            </w:r>
          </w:p>
        </w:tc>
      </w:tr>
      <w:tr>
        <w:tc>
          <w:tcPr>
            <w:tcW w:type="dxa" w:w="26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9"/>
                <w:szCs w:val="19"/>
              </w:rPr>
              <w:t xml:space="preserve">Instance</w:t>
            </w:r>
          </w:p>
        </w:tc>
        <w:tc>
          <w:tcPr>
            <w:tcW w:type="dxa" w:w="676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3D4C5C"/>
                <w:sz w:val="19"/>
                <w:szCs w:val="19"/>
              </w:rPr>
              <w:t xml:space="preserve">CSE de la société … / CSE d’établissement de … / CSE central</w:t>
            </w:r>
          </w:p>
        </w:tc>
      </w:tr>
      <w:tr>
        <w:tc>
          <w:tcPr>
            <w:tcW w:type="dxa" w:w="2600"/>
            <w:shd w:fill="F6F9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9"/>
                <w:szCs w:val="19"/>
              </w:rPr>
              <w:t xml:space="preserve">Date de la réunion</w:t>
            </w:r>
          </w:p>
        </w:tc>
        <w:tc>
          <w:tcPr>
            <w:tcW w:type="dxa" w:w="6760"/>
            <w:shd w:fill="F6F9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3D4C5C"/>
                <w:sz w:val="19"/>
                <w:szCs w:val="19"/>
              </w:rPr>
              <w:t xml:space="preserve">…</w:t>
            </w:r>
          </w:p>
        </w:tc>
      </w:tr>
      <w:tr>
        <w:tc>
          <w:tcPr>
            <w:tcW w:type="dxa" w:w="26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9"/>
                <w:szCs w:val="19"/>
              </w:rPr>
              <w:t xml:space="preserve">Objet de la consultation</w:t>
            </w:r>
          </w:p>
        </w:tc>
        <w:tc>
          <w:tcPr>
            <w:tcW w:type="dxa" w:w="676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3D4C5C"/>
                <w:sz w:val="19"/>
                <w:szCs w:val="19"/>
              </w:rPr>
              <w:t xml:space="preserve">…</w:t>
            </w:r>
          </w:p>
        </w:tc>
      </w:tr>
      <w:tr>
        <w:tc>
          <w:tcPr>
            <w:tcW w:type="dxa" w:w="2600"/>
            <w:shd w:fill="F6F9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9"/>
                <w:szCs w:val="19"/>
              </w:rPr>
              <w:t xml:space="preserve">Fondement légal</w:t>
            </w:r>
          </w:p>
        </w:tc>
        <w:tc>
          <w:tcPr>
            <w:tcW w:type="dxa" w:w="6760"/>
            <w:shd w:fill="F6F9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3D4C5C"/>
                <w:sz w:val="19"/>
                <w:szCs w:val="19"/>
              </w:rPr>
              <w:t xml:space="preserve">Article L. 2312-8 / L. 2312-17 / L. 2312-37 / L. 2312-38 / autre</w:t>
            </w:r>
          </w:p>
        </w:tc>
      </w:tr>
      <w:tr>
        <w:tc>
          <w:tcPr>
            <w:tcW w:type="dxa" w:w="26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9"/>
                <w:szCs w:val="19"/>
              </w:rPr>
              <w:t xml:space="preserve">Membres présents</w:t>
            </w:r>
          </w:p>
        </w:tc>
        <w:tc>
          <w:tcPr>
            <w:tcW w:type="dxa" w:w="676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3D4C5C"/>
                <w:sz w:val="19"/>
                <w:szCs w:val="19"/>
              </w:rPr>
              <w:t xml:space="preserve">Titulaires …  —  Suppléants remplaçants …</w:t>
            </w:r>
          </w:p>
        </w:tc>
      </w:tr>
      <w:tr>
        <w:tc>
          <w:tcPr>
            <w:tcW w:type="dxa" w:w="2600"/>
            <w:shd w:fill="F6F9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9"/>
                <w:szCs w:val="19"/>
              </w:rPr>
              <w:t xml:space="preserve">Présidence</w:t>
            </w:r>
          </w:p>
        </w:tc>
        <w:tc>
          <w:tcPr>
            <w:tcW w:type="dxa" w:w="6760"/>
            <w:shd w:fill="F6F9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3D4C5C"/>
                <w:sz w:val="19"/>
                <w:szCs w:val="19"/>
              </w:rPr>
              <w:t xml:space="preserve">… (ne prend pas part au vote, article L. 2315-32)</w:t>
            </w:r>
          </w:p>
        </w:tc>
      </w:tr>
    </w:tbl>
    <w:p>
      <w:pPr>
        <w:pStyle w:val="Heading1"/>
        <w:spacing w:after="160" w:before="320"/>
      </w:pPr>
      <w:r>
        <w:rPr>
          <w:rFonts w:ascii="Calibri" w:cs="Calibri" w:eastAsia="Calibri" w:hAnsi="Calibri"/>
          <w:b/>
          <w:bCs/>
          <w:caps/>
          <w:color w:val="1F3A5F"/>
          <w:sz w:val="26"/>
          <w:szCs w:val="26"/>
        </w:rPr>
        <w:t xml:space="preserve">2. Informations remises au comité</w:t>
      </w:r>
    </w:p>
    <w:p>
      <w:pPr>
        <w:spacing w:after="120" w:line="276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Le comité constate avoir reçu les éléments suivants, aux dates indiquées.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2380"/>
        <w:gridCol w:w="2380"/>
      </w:tblGrid>
      <w:tr>
        <w:trPr>
          <w:tblHeader/>
        </w:trPr>
        <w:tc>
          <w:tcPr>
            <w:tcW w:type="dxa" w:w="4600"/>
            <w:shd w:fill="1F3A5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Document</w:t>
            </w:r>
          </w:p>
        </w:tc>
        <w:tc>
          <w:tcPr>
            <w:tcW w:type="dxa" w:w="2380"/>
            <w:shd w:fill="1F3A5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Date de remise</w:t>
            </w:r>
          </w:p>
        </w:tc>
        <w:tc>
          <w:tcPr>
            <w:tcW w:type="dxa" w:w="2380"/>
            <w:shd w:fill="1F3A5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Support</w:t>
            </w:r>
          </w:p>
        </w:tc>
      </w:tr>
      <w:tr>
        <w:tc>
          <w:tcPr>
            <w:tcW w:type="dxa" w:w="46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9"/>
                <w:szCs w:val="19"/>
              </w:rPr>
              <w:t xml:space="preserve">…</w:t>
            </w:r>
          </w:p>
        </w:tc>
        <w:tc>
          <w:tcPr>
            <w:tcW w:type="dxa" w:w="238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3D4C5C"/>
                <w:sz w:val="19"/>
                <w:szCs w:val="19"/>
              </w:rPr>
              <w:t xml:space="preserve">…</w:t>
            </w:r>
          </w:p>
        </w:tc>
        <w:tc>
          <w:tcPr>
            <w:tcW w:type="dxa" w:w="238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3D4C5C"/>
                <w:sz w:val="19"/>
                <w:szCs w:val="19"/>
              </w:rPr>
              <w:t xml:space="preserve">Réunion / BDESE / courriel</w:t>
            </w:r>
          </w:p>
        </w:tc>
      </w:tr>
      <w:tr>
        <w:tc>
          <w:tcPr>
            <w:tcW w:type="dxa" w:w="4600"/>
            <w:shd w:fill="F6F9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9"/>
                <w:szCs w:val="19"/>
              </w:rPr>
              <w:t xml:space="preserve">…</w:t>
            </w:r>
          </w:p>
        </w:tc>
        <w:tc>
          <w:tcPr>
            <w:tcW w:type="dxa" w:w="2380"/>
            <w:shd w:fill="F6F9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3D4C5C"/>
                <w:sz w:val="19"/>
                <w:szCs w:val="19"/>
              </w:rPr>
              <w:t xml:space="preserve">…</w:t>
            </w:r>
          </w:p>
        </w:tc>
        <w:tc>
          <w:tcPr>
            <w:tcW w:type="dxa" w:w="2380"/>
            <w:shd w:fill="F6F9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3D4C5C"/>
                <w:sz w:val="19"/>
                <w:szCs w:val="19"/>
              </w:rPr>
              <w:t xml:space="preserve">…</w:t>
            </w:r>
          </w:p>
        </w:tc>
      </w:tr>
      <w:tr>
        <w:tc>
          <w:tcPr>
            <w:tcW w:type="dxa" w:w="46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9"/>
                <w:szCs w:val="19"/>
              </w:rPr>
              <w:t xml:space="preserve">…</w:t>
            </w:r>
          </w:p>
        </w:tc>
        <w:tc>
          <w:tcPr>
            <w:tcW w:type="dxa" w:w="238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3D4C5C"/>
                <w:sz w:val="19"/>
                <w:szCs w:val="19"/>
              </w:rPr>
              <w:t xml:space="preserve">…</w:t>
            </w:r>
          </w:p>
        </w:tc>
        <w:tc>
          <w:tcPr>
            <w:tcW w:type="dxa" w:w="238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3D4C5C"/>
                <w:sz w:val="19"/>
                <w:szCs w:val="19"/>
              </w:rPr>
              <w:t xml:space="preserve">…</w:t>
            </w:r>
          </w:p>
        </w:tc>
      </w:tr>
    </w:tbl>
    <w:p>
      <w:pPr>
        <w:pBdr>
          <w:left w:val="single" w:color="C08A2D" w:sz="18" w:space="6"/>
        </w:pBdr>
        <w:shd w:fill="FBF7EC" w:val="clear"/>
        <w:spacing w:after="120" w:line="264"/>
        <w:ind w:left="170" w:right="170"/>
      </w:pPr>
      <w:r>
        <w:rPr>
          <w:rFonts w:ascii="Calibri" w:cs="Calibri" w:eastAsia="Calibri" w:hAnsi="Calibri"/>
          <w:i/>
          <w:iCs/>
          <w:color w:val="6A5527"/>
          <w:sz w:val="19"/>
          <w:szCs w:val="19"/>
        </w:rPr>
        <w:t xml:space="preserve">Le délai de consultation court à compter de la communication de ces informations ou de l’information donnée sur leur mise à disposition dans la BDESE (article R. 2312-5). Dater précisément cette rubrique conditionne toute discussion ultérieure sur l’expiration du délai.</w:t>
      </w:r>
    </w:p>
    <w:p>
      <w:pPr>
        <w:pStyle w:val="Heading1"/>
        <w:spacing w:after="160" w:before="320"/>
      </w:pPr>
      <w:r>
        <w:rPr>
          <w:rFonts w:ascii="Calibri" w:cs="Calibri" w:eastAsia="Calibri" w:hAnsi="Calibri"/>
          <w:b/>
          <w:bCs/>
          <w:caps/>
          <w:color w:val="1F3A5F"/>
          <w:sz w:val="26"/>
          <w:szCs w:val="26"/>
        </w:rPr>
        <w:t xml:space="preserve">3. Délai de consultation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shd w:fill="1F3A5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Point de départ</w:t>
            </w:r>
          </w:p>
        </w:tc>
        <w:tc>
          <w:tcPr>
            <w:tcW w:type="dxa" w:w="3120"/>
            <w:shd w:fill="1F3A5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Délai applicable</w:t>
            </w:r>
          </w:p>
        </w:tc>
        <w:tc>
          <w:tcPr>
            <w:tcW w:type="dxa" w:w="3120"/>
            <w:shd w:fill="1F3A5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Échéance</w:t>
            </w:r>
          </w:p>
        </w:tc>
      </w:tr>
      <w:tr>
        <w:tc>
          <w:tcPr>
            <w:tcW w:type="dxa" w:w="3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9"/>
                <w:szCs w:val="19"/>
              </w:rPr>
              <w:t xml:space="preserve">…</w:t>
            </w:r>
          </w:p>
        </w:tc>
        <w:tc>
          <w:tcPr>
            <w:tcW w:type="dxa" w:w="3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3D4C5C"/>
                <w:sz w:val="19"/>
                <w:szCs w:val="19"/>
              </w:rPr>
              <w:t xml:space="preserve">Un mois / deux mois (expertise) / trois mois / délai conventionnel</w:t>
            </w:r>
          </w:p>
        </w:tc>
        <w:tc>
          <w:tcPr>
            <w:tcW w:type="dxa" w:w="3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3D4C5C"/>
                <w:sz w:val="19"/>
                <w:szCs w:val="19"/>
              </w:rPr>
              <w:t xml:space="preserve">…</w:t>
            </w:r>
          </w:p>
        </w:tc>
      </w:tr>
    </w:tbl>
    <w:p>
      <w:pPr>
        <w:spacing w:after="120" w:line="276"/>
      </w:pPr>
      <w:r>
        <w:rPr>
          <w:rFonts w:ascii="Calibri" w:cs="Calibri" w:eastAsia="Calibri" w:hAnsi="Calibri"/>
          <w:color w:val="5C6B7A"/>
          <w:sz w:val="20"/>
          <w:szCs w:val="20"/>
        </w:rPr>
        <w:t xml:space="preserve">Expertise décidée le …, cabinet …, sur le fondement de l’article …</w:t>
      </w:r>
    </w:p>
    <w:p>
      <w:pPr>
        <w:pStyle w:val="Heading1"/>
        <w:spacing w:after="160" w:before="320"/>
      </w:pPr>
      <w:r>
        <w:rPr>
          <w:rFonts w:ascii="Calibri" w:cs="Calibri" w:eastAsia="Calibri" w:hAnsi="Calibri"/>
          <w:b/>
          <w:bCs/>
          <w:caps/>
          <w:color w:val="1F3A5F"/>
          <w:sz w:val="26"/>
          <w:szCs w:val="26"/>
        </w:rPr>
        <w:t xml:space="preserve">4. Contexte et analyse du projet</w:t>
      </w:r>
    </w:p>
    <w:p>
      <w:pPr>
        <w:pBdr>
          <w:top w:val="single" w:color="D5DEEA" w:sz="4" w:space="4"/>
          <w:bottom w:val="single" w:color="D5DEEA" w:sz="4" w:space="4"/>
          <w:left w:val="single" w:color="D5DEEA" w:sz="4" w:space="4"/>
          <w:right w:val="single" w:color="D5DEEA" w:sz="4" w:space="4"/>
        </w:pBdr>
        <w:shd w:fill="F4F8FC" w:val="clear"/>
        <w:spacing w:after="120"/>
        <w:ind w:left="110" w:right="110"/>
      </w:pPr>
      <w:r>
        <w:rPr>
          <w:rFonts w:ascii="Calibri" w:cs="Calibri" w:eastAsia="Calibri" w:hAnsi="Calibri"/>
          <w:i/>
          <w:iCs/>
          <w:color w:val="5C6B7A"/>
          <w:sz w:val="20"/>
          <w:szCs w:val="20"/>
        </w:rPr>
        <w:t xml:space="preserve">Résumer le projet tel que présenté par la direction, puis exposer l’analyse du comité. Distinguer ce qui est établi de ce qui reste hypothétique.</w:t>
      </w:r>
    </w:p>
    <w:p>
      <w:pPr>
        <w:spacing w:after="120" w:line="276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/>
      </w:r>
    </w:p>
    <w:p>
      <w:pPr>
        <w:pStyle w:val="Heading1"/>
        <w:spacing w:after="160" w:before="320"/>
      </w:pPr>
      <w:r>
        <w:rPr>
          <w:rFonts w:ascii="Calibri" w:cs="Calibri" w:eastAsia="Calibri" w:hAnsi="Calibri"/>
          <w:b/>
          <w:bCs/>
          <w:caps/>
          <w:color w:val="1F3A5F"/>
          <w:sz w:val="26"/>
          <w:szCs w:val="26"/>
        </w:rPr>
        <w:t xml:space="preserve">5. Conséquences identifiées</w:t>
      </w:r>
    </w:p>
    <w:p>
      <w:pPr>
        <w:spacing w:after="120" w:line="276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Le comité relève les conséquences prévisibles suivantes.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Sur l’emploi et les effectifs — …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Sur l’organisation du travail et la charge — …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Sur les métiers, les compétences et la formation — …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Sur la santé, la sécurité et les conditions de travail — …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Sur les rémunérations et le temps de travail — …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Sur l’environnement — …</w:t>
      </w:r>
    </w:p>
    <w:p>
      <w:pPr>
        <w:pStyle w:val="Heading1"/>
        <w:spacing w:after="160" w:before="320"/>
      </w:pPr>
      <w:r>
        <w:rPr>
          <w:rFonts w:ascii="Calibri" w:cs="Calibri" w:eastAsia="Calibri" w:hAnsi="Calibri"/>
          <w:b/>
          <w:bCs/>
          <w:caps/>
          <w:color w:val="1F3A5F"/>
          <w:sz w:val="26"/>
          <w:szCs w:val="26"/>
        </w:rPr>
        <w:t xml:space="preserve">6. Informations manquantes</w:t>
      </w:r>
    </w:p>
    <w:p>
      <w:pPr>
        <w:spacing w:after="120" w:line="276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Le comité a sollicité les éléments ci-après, qui ne lui ont pas été remis ou l’ont été de manière incomplète.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720"/>
        <w:gridCol w:w="2520"/>
      </w:tblGrid>
      <w:tr>
        <w:trPr>
          <w:tblHeader/>
        </w:trPr>
        <w:tc>
          <w:tcPr>
            <w:tcW w:type="dxa" w:w="3120"/>
            <w:shd w:fill="1F3A5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Document demandé</w:t>
            </w:r>
          </w:p>
        </w:tc>
        <w:tc>
          <w:tcPr>
            <w:tcW w:type="dxa" w:w="3720"/>
            <w:shd w:fill="1F3A5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Utilité pour l’avis</w:t>
            </w:r>
          </w:p>
        </w:tc>
        <w:tc>
          <w:tcPr>
            <w:tcW w:type="dxa" w:w="2520"/>
            <w:shd w:fill="1F3A5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Suite donnée</w:t>
            </w:r>
          </w:p>
        </w:tc>
      </w:tr>
      <w:tr>
        <w:tc>
          <w:tcPr>
            <w:tcW w:type="dxa" w:w="31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9"/>
                <w:szCs w:val="19"/>
              </w:rPr>
              <w:t xml:space="preserve">…</w:t>
            </w:r>
          </w:p>
        </w:tc>
        <w:tc>
          <w:tcPr>
            <w:tcW w:type="dxa" w:w="37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3D4C5C"/>
                <w:sz w:val="19"/>
                <w:szCs w:val="19"/>
              </w:rPr>
              <w:t xml:space="preserve">…</w:t>
            </w:r>
          </w:p>
        </w:tc>
        <w:tc>
          <w:tcPr>
            <w:tcW w:type="dxa" w:w="252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3D4C5C"/>
                <w:sz w:val="19"/>
                <w:szCs w:val="19"/>
              </w:rPr>
              <w:t xml:space="preserve">Refus / sans réponse / partiel</w:t>
            </w:r>
          </w:p>
        </w:tc>
      </w:tr>
      <w:tr>
        <w:tc>
          <w:tcPr>
            <w:tcW w:type="dxa" w:w="3120"/>
            <w:shd w:fill="F6F9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9"/>
                <w:szCs w:val="19"/>
              </w:rPr>
              <w:t xml:space="preserve">…</w:t>
            </w:r>
          </w:p>
        </w:tc>
        <w:tc>
          <w:tcPr>
            <w:tcW w:type="dxa" w:w="3720"/>
            <w:shd w:fill="F6F9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3D4C5C"/>
                <w:sz w:val="19"/>
                <w:szCs w:val="19"/>
              </w:rPr>
              <w:t xml:space="preserve">…</w:t>
            </w:r>
          </w:p>
        </w:tc>
        <w:tc>
          <w:tcPr>
            <w:tcW w:type="dxa" w:w="2520"/>
            <w:shd w:fill="F6F9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3D4C5C"/>
                <w:sz w:val="19"/>
                <w:szCs w:val="19"/>
              </w:rPr>
              <w:t xml:space="preserve">…</w:t>
            </w:r>
          </w:p>
        </w:tc>
      </w:tr>
    </w:tbl>
    <w:p>
      <w:pPr>
        <w:pBdr>
          <w:left w:val="single" w:color="C08A2D" w:sz="18" w:space="6"/>
        </w:pBdr>
        <w:shd w:fill="FBF7EC" w:val="clear"/>
        <w:spacing w:after="120" w:line="264"/>
        <w:ind w:left="170" w:right="170"/>
      </w:pPr>
      <w:r>
        <w:rPr>
          <w:rFonts w:ascii="Calibri" w:cs="Calibri" w:eastAsia="Calibri" w:hAnsi="Calibri"/>
          <w:i/>
          <w:iCs/>
          <w:color w:val="6A5527"/>
          <w:sz w:val="19"/>
          <w:szCs w:val="19"/>
        </w:rPr>
        <w:t xml:space="preserve">Rubrique déterminante. La nécessité d’un document s’apprécie au regard de l’objet de la consultation. Relier chaque pièce à une conséquence précise du projet, et non à un intérêt général pour l’entreprise, conditionne l’issue d’une saisine ultérieure fondée sur l’article L. 2312-15.</w:t>
      </w:r>
    </w:p>
    <w:p>
      <w:pPr>
        <w:pStyle w:val="Heading1"/>
        <w:spacing w:after="160" w:before="320"/>
      </w:pPr>
      <w:r>
        <w:rPr>
          <w:rFonts w:ascii="Calibri" w:cs="Calibri" w:eastAsia="Calibri" w:hAnsi="Calibri"/>
          <w:b/>
          <w:bCs/>
          <w:caps/>
          <w:color w:val="1F3A5F"/>
          <w:sz w:val="26"/>
          <w:szCs w:val="26"/>
        </w:rPr>
        <w:t xml:space="preserve">7. Réserves du comité</w:t>
      </w:r>
    </w:p>
    <w:p>
      <w:pPr>
        <w:pBdr>
          <w:top w:val="single" w:color="D5DEEA" w:sz="4" w:space="4"/>
          <w:bottom w:val="single" w:color="D5DEEA" w:sz="4" w:space="4"/>
          <w:left w:val="single" w:color="D5DEEA" w:sz="4" w:space="4"/>
          <w:right w:val="single" w:color="D5DEEA" w:sz="4" w:space="4"/>
        </w:pBdr>
        <w:shd w:fill="F4F8FC" w:val="clear"/>
        <w:spacing w:after="120"/>
        <w:ind w:left="110" w:right="110"/>
      </w:pPr>
      <w:r>
        <w:rPr>
          <w:rFonts w:ascii="Calibri" w:cs="Calibri" w:eastAsia="Calibri" w:hAnsi="Calibri"/>
          <w:i/>
          <w:iCs/>
          <w:color w:val="5C6B7A"/>
          <w:sz w:val="20"/>
          <w:szCs w:val="20"/>
        </w:rPr>
        <w:t xml:space="preserve">Énumérer les réserves, en indiquant pour chacune le risque redouté et la population concernée.</w:t>
      </w:r>
    </w:p>
    <w:p>
      <w:pPr>
        <w:spacing w:after="120" w:line="276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/>
      </w:r>
    </w:p>
    <w:p>
      <w:pPr>
        <w:pStyle w:val="Heading1"/>
        <w:spacing w:after="160" w:before="320"/>
      </w:pPr>
      <w:r>
        <w:rPr>
          <w:rFonts w:ascii="Calibri" w:cs="Calibri" w:eastAsia="Calibri" w:hAnsi="Calibri"/>
          <w:b/>
          <w:bCs/>
          <w:caps/>
          <w:color w:val="1F3A5F"/>
          <w:sz w:val="26"/>
          <w:szCs w:val="26"/>
        </w:rPr>
        <w:t xml:space="preserve">8. Propositions alternatives et garanties demandées</w:t>
      </w:r>
    </w:p>
    <w:p>
      <w:pPr>
        <w:spacing w:after="120" w:line="276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Le comité formule les propositions suivantes, au titre de sa mission d’expression collective des salariés.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Sur le calendrier — …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Sur le périmètre du projet — …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Sur l’accompagnement des salariés — …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Sur la formation et l’adaptation des compétences — …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Sur la prévention des risques — …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Sur une expérimentation préalable — …</w:t>
      </w:r>
    </w:p>
    <w:p>
      <w:pPr>
        <w:pStyle w:val="Heading1"/>
        <w:spacing w:after="160" w:before="320"/>
      </w:pPr>
      <w:r>
        <w:rPr>
          <w:rFonts w:ascii="Calibri" w:cs="Calibri" w:eastAsia="Calibri" w:hAnsi="Calibri"/>
          <w:b/>
          <w:bCs/>
          <w:caps/>
          <w:color w:val="1F3A5F"/>
          <w:sz w:val="26"/>
          <w:szCs w:val="26"/>
        </w:rPr>
        <w:t xml:space="preserve">9. Modalités de suivi</w:t>
      </w:r>
    </w:p>
    <w:p>
      <w:pPr>
        <w:spacing w:after="120" w:line="276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Le comité demande la présentation d’un bilan à … mois, portant sur les indicateurs suivants.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…</w:t>
      </w:r>
    </w:p>
    <w:p>
      <w:pPr>
        <w:pStyle w:val="ListParagraph"/>
        <w:numPr>
          <w:ilvl w:val="0"/>
          <w:numId w:val="2"/>
        </w:numPr>
        <w:spacing w:after="60" w:line="276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…</w:t>
      </w:r>
    </w:p>
    <w:p>
      <w:pPr>
        <w:pStyle w:val="Heading1"/>
        <w:spacing w:after="160" w:before="320"/>
      </w:pPr>
      <w:r>
        <w:rPr>
          <w:rFonts w:ascii="Calibri" w:cs="Calibri" w:eastAsia="Calibri" w:hAnsi="Calibri"/>
          <w:b/>
          <w:bCs/>
          <w:caps/>
          <w:color w:val="1F3A5F"/>
          <w:sz w:val="26"/>
          <w:szCs w:val="26"/>
        </w:rPr>
        <w:t xml:space="preserve">10. Résolution soumise au vote</w:t>
      </w:r>
    </w:p>
    <w:p>
      <w:pPr>
        <w:pBdr>
          <w:left w:val="single" w:color="1F3A5F" w:sz="18" w:space="6"/>
        </w:pBdr>
        <w:shd w:fill="F4F8FC" w:val="clear"/>
        <w:spacing w:after="120" w:before="60" w:line="276"/>
        <w:ind w:left="170" w:right="170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Au vu des informations communiquées, des éléments manquants recensés au point 6 et des échanges tenus en séance, le comité social et économique émet un avis … (favorable / favorable sous réserves / défavorable) sur le projet de …, assorti des réserves, des propositions et des demandes de garanties exposées ci-dessus.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0"/>
        <w:gridCol w:w="3360"/>
      </w:tblGrid>
      <w:tr>
        <w:trPr>
          <w:tblHeader/>
        </w:trPr>
        <w:tc>
          <w:tcPr>
            <w:tcW w:type="dxa" w:w="6000"/>
            <w:shd w:fill="1F3A5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Résultat du vote</w:t>
            </w:r>
          </w:p>
        </w:tc>
        <w:tc>
          <w:tcPr>
            <w:tcW w:type="dxa" w:w="3360"/>
            <w:shd w:fill="1F3A5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Nombre</w:t>
            </w:r>
          </w:p>
        </w:tc>
      </w:tr>
      <w:tr>
        <w:tc>
          <w:tcPr>
            <w:tcW w:type="dxa" w:w="60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9"/>
                <w:szCs w:val="19"/>
              </w:rPr>
              <w:t xml:space="preserve">Pour</w:t>
            </w:r>
          </w:p>
        </w:tc>
        <w:tc>
          <w:tcPr>
            <w:tcW w:type="dxa" w:w="336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3D4C5C"/>
                <w:sz w:val="19"/>
                <w:szCs w:val="19"/>
              </w:rPr>
              <w:t xml:space="preserve">…</w:t>
            </w:r>
          </w:p>
        </w:tc>
      </w:tr>
      <w:tr>
        <w:tc>
          <w:tcPr>
            <w:tcW w:type="dxa" w:w="6000"/>
            <w:shd w:fill="F6F9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9"/>
                <w:szCs w:val="19"/>
              </w:rPr>
              <w:t xml:space="preserve">Contre</w:t>
            </w:r>
          </w:p>
        </w:tc>
        <w:tc>
          <w:tcPr>
            <w:tcW w:type="dxa" w:w="3360"/>
            <w:shd w:fill="F6F9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3D4C5C"/>
                <w:sz w:val="19"/>
                <w:szCs w:val="19"/>
              </w:rPr>
              <w:t xml:space="preserve">…</w:t>
            </w:r>
          </w:p>
        </w:tc>
      </w:tr>
      <w:tr>
        <w:tc>
          <w:tcPr>
            <w:tcW w:type="dxa" w:w="600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9"/>
                <w:szCs w:val="19"/>
              </w:rPr>
              <w:t xml:space="preserve">Abstentions</w:t>
            </w:r>
          </w:p>
        </w:tc>
        <w:tc>
          <w:tcPr>
            <w:tcW w:type="dxa" w:w="3360"/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3D4C5C"/>
                <w:sz w:val="19"/>
                <w:szCs w:val="19"/>
              </w:rPr>
              <w:t xml:space="preserve">…</w:t>
            </w:r>
          </w:p>
        </w:tc>
      </w:tr>
      <w:tr>
        <w:tc>
          <w:tcPr>
            <w:tcW w:type="dxa" w:w="6000"/>
            <w:shd w:fill="F6F9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9"/>
                <w:szCs w:val="19"/>
              </w:rPr>
              <w:t xml:space="preserve">Votants ayant voix délibérative</w:t>
            </w:r>
          </w:p>
        </w:tc>
        <w:tc>
          <w:tcPr>
            <w:tcW w:type="dxa" w:w="3360"/>
            <w:shd w:fill="F6F9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color w:val="3D4C5C"/>
                <w:sz w:val="19"/>
                <w:szCs w:val="19"/>
              </w:rPr>
              <w:t xml:space="preserve">…</w:t>
            </w:r>
          </w:p>
        </w:tc>
      </w:tr>
    </w:tbl>
    <w:p>
      <w:pPr>
        <w:pBdr>
          <w:left w:val="single" w:color="C08A2D" w:sz="18" w:space="6"/>
        </w:pBdr>
        <w:shd w:fill="FBF7EC" w:val="clear"/>
        <w:spacing w:after="120" w:line="264"/>
        <w:ind w:left="170" w:right="170"/>
      </w:pPr>
      <w:r>
        <w:rPr>
          <w:rFonts w:ascii="Calibri" w:cs="Calibri" w:eastAsia="Calibri" w:hAnsi="Calibri"/>
          <w:i/>
          <w:iCs/>
          <w:color w:val="6A5527"/>
          <w:sz w:val="19"/>
          <w:szCs w:val="19"/>
        </w:rPr>
        <w:t xml:space="preserve">Les résolutions sont prises à la majorité des membres présents. Le président ne participe pas au vote lorsqu’il consulte les membres élus en tant que délégation du personnel (article L. 2315-32).</w:t>
      </w:r>
    </w:p>
    <w:p>
      <w:pPr>
        <w:pStyle w:val="Heading1"/>
        <w:spacing w:after="160" w:before="320"/>
      </w:pPr>
      <w:r>
        <w:rPr>
          <w:rFonts w:ascii="Calibri" w:cs="Calibri" w:eastAsia="Calibri" w:hAnsi="Calibri"/>
          <w:b/>
          <w:bCs/>
          <w:caps/>
          <w:color w:val="1F3A5F"/>
          <w:sz w:val="26"/>
          <w:szCs w:val="26"/>
        </w:rPr>
        <w:t xml:space="preserve">11. Suites attendues de l’employeur</w:t>
      </w:r>
    </w:p>
    <w:p>
      <w:pPr>
        <w:spacing w:after="120" w:line="276"/>
      </w:pPr>
      <w:r>
        <w:rPr>
          <w:rFonts w:ascii="Calibri" w:cs="Calibri" w:eastAsia="Calibri" w:hAnsi="Calibri"/>
          <w:color w:val="22303F"/>
          <w:sz w:val="21"/>
          <w:szCs w:val="21"/>
        </w:rPr>
        <w:t xml:space="preserve">Le comité rappelle que l’employeur rend compte, en la motivant, de la suite donnée à ses avis et vœux (article L. 2312-15). Il demande que cette réponse soit portée à l’ordre du jour de la réunion du …</w:t>
      </w:r>
    </w:p>
    <w:p>
      <w:pPr>
        <w:spacing w:after="40" w:before="420"/>
      </w:pPr>
      <w:r>
        <w:rPr>
          <w:rFonts w:ascii="Calibri" w:cs="Calibri" w:eastAsia="Calibri" w:hAnsi="Calibri"/>
          <w:sz w:val="21"/>
          <w:szCs w:val="21"/>
        </w:rPr>
        <w:t xml:space="preserve">Fait à …, le …</w:t>
      </w:r>
    </w:p>
    <w:p>
      <w:pPr>
        <w:spacing w:after="0"/>
      </w:pPr>
      <w:r>
        <w:rPr>
          <w:rFonts w:ascii="Calibri" w:cs="Calibri" w:eastAsia="Calibri" w:hAnsi="Calibri"/>
          <w:sz w:val="21"/>
          <w:szCs w:val="21"/>
        </w:rPr>
        <w:t xml:space="preserve">Le secrétaire du CSE — …</w:t>
      </w:r>
    </w:p>
    <w:p>
      <w:pPr>
        <w:pBdr>
          <w:top w:val="single" w:color="E3E8EF" w:sz="6" w:space="8"/>
        </w:pBdr>
        <w:spacing w:after="60" w:before="420"/>
      </w:pPr>
      <w:r>
        <w:rPr>
          <w:rFonts w:ascii="Calibri" w:cs="Calibri" w:eastAsia="Calibri" w:hAnsi="Calibri"/>
          <w:i/>
          <w:iCs/>
          <w:color w:val="5C6B7A"/>
          <w:sz w:val="17"/>
          <w:szCs w:val="17"/>
        </w:rPr>
        <w:t xml:space="preserve">Ce modèle est fourni à titre indicatif. Il ne dispense pas de l’analyse d’un avocat en droit du travail sur la situation particulière du comité. État du droit au 28 juillet 2026.</w:t>
      </w:r>
    </w:p>
    <w:sectPr>
      <w:headerReference w:type="default" r:id="rId7"/>
      <w:footerReference w:type="default" r:id="rId8"/>
      <w:pgSz w:w="12240" w:h="15840" w:orient="portrait"/>
      <w:pgMar w:top="1200" w:right="1440" w:bottom="12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C6B7A"/>
        <w:sz w:val="16"/>
        <w:szCs w:val="16"/>
      </w:rPr>
      <w:t xml:space="preserve">Trame d’avis motivé du CSE  —  osezvosdroits.com  —  page </w:t>
    </w:r>
    <w:r>
      <w:rPr>
        <w:rFonts w:ascii="Calibri" w:cs="Calibri" w:eastAsia="Calibri" w:hAnsi="Calibri"/>
        <w:color w:val="5C6B7A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3E8EF" w:sz="6" w:space="4"/>
      </w:pBdr>
      <w:spacing w:after="60"/>
      <w:jc w:val="right"/>
    </w:pPr>
    <w:r>
      <w:rPr>
        <w:rFonts w:ascii="Calibri" w:cs="Calibri" w:eastAsia="Calibri" w:hAnsi="Calibri"/>
        <w:color w:val="5C6B7A"/>
        <w:sz w:val="16"/>
        <w:szCs w:val="16"/>
      </w:rPr>
      <w:t xml:space="preserve">OSEZ VOS DROITS  —  Formation et assistance juridique du CSE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40" w:hanging="200"/>
      </w:pPr>
      <w:rPr>
        <w:color w:val="C08A2D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Trame de deliberation portant avis motive du CSE</dc:title>
  <dc:creator>OSEZ VOS DROITS - INGENIUM CONSULTANTS</dc:creator>
  <dc:description>Modele de resolution du comite social et economique portant avis motive</dc:description>
  <cp:lastModifiedBy>Un-named</cp:lastModifiedBy>
  <cp:revision>1</cp:revision>
  <dcterms:created xsi:type="dcterms:W3CDTF">2026-07-28T14:58:56.488Z</dcterms:created>
  <dcterms:modified xsi:type="dcterms:W3CDTF">2026-07-28T14:58:56.489Z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