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aps/>
          <w:color w:val="B87E00"/>
          <w:sz w:val="17"/>
          <w:szCs w:val="17"/>
        </w:rPr>
        <w:t xml:space="preserve">Comité social et économique</w:t>
      </w:r>
    </w:p>
    <w:p>
      <w:pPr>
        <w:spacing w:after="200" w:before="120"/>
        <w:jc w:val="center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Procès-verbal de remise des documents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Passation entre le trésorier sortant et le trésorier entrant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08A2D" w:sz="18"/>
              <w:bottom w:val="none" w:color="FFFFFF" w:sz="0"/>
              <w:right w:val="none" w:color="FFFFFF" w:sz="0"/>
            </w:tcBorders>
            <w:shd w:fill="F4F8FC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16294A"/>
                <w:sz w:val="19"/>
                <w:szCs w:val="19"/>
              </w:rPr>
              <w:t xml:space="preserve">Pourquoi ce document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La remise des pièces conditionne la continuité des paiements et la conservation des justificatifs pendant dix ans.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Signé par les deux parties, ce procès-verbal établit la preuve de la transmission et protège le trésorier sortant autant que le trésorier entrant.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En cas de refus de restitution, il documente précisément les éléments manquants pour la mise en demeure et, le cas échéant, pour la saisine du juge judiciaire.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1. Parties</w:t>
      </w:r>
    </w:p>
    <w:p>
      <w:pPr>
        <w:spacing w:after="140" w:line="300"/>
      </w:pPr>
      <w:r>
        <w:t xml:space="preserve">Le comité social et économique de la société </w:t>
      </w:r>
      <w:r>
        <w:rPr>
          <w:b/>
          <w:bCs/>
          <w:color w:val="B87E00"/>
        </w:rPr>
        <w:t xml:space="preserve">[dénomination sociale]</w:t>
      </w:r>
      <w:r>
        <w:t xml:space="preserve">, représenté par son secrétaire </w:t>
      </w:r>
      <w:r>
        <w:rPr>
          <w:b/>
          <w:bCs/>
          <w:color w:val="B87E00"/>
        </w:rPr>
        <w:t xml:space="preserve">[Nom, prénom]</w:t>
      </w:r>
      <w:r>
        <w:t xml:space="preserve">, constate ce jour la remise des documents financiers entre :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le trésorier sortant, </w:t>
      </w:r>
      <w:r>
        <w:rPr>
          <w:b/>
          <w:bCs/>
          <w:color w:val="B87E00"/>
        </w:rPr>
        <w:t xml:space="preserve">[Nom, prénom]</w:t>
      </w:r>
      <w:r>
        <w:t xml:space="preserve">, dont les fonctions ont pris fin le </w:t>
      </w:r>
      <w:r>
        <w:rPr>
          <w:b/>
          <w:bCs/>
          <w:color w:val="B87E00"/>
        </w:rPr>
        <w:t xml:space="preserve">[date]</w:t>
      </w:r>
      <w:r>
        <w:t xml:space="preserve"> pour le motif suivant : </w:t>
      </w:r>
      <w:r>
        <w:rPr>
          <w:b/>
          <w:bCs/>
          <w:color w:val="B87E00"/>
        </w:rPr>
        <w:t xml:space="preserve">[démission de la fonction / révocation / fin de mandat / départ de l’entreprise]</w:t>
      </w:r>
      <w:r>
        <w:t xml:space="preserve">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le trésorier entrant, </w:t>
      </w:r>
      <w:r>
        <w:rPr>
          <w:b/>
          <w:bCs/>
          <w:color w:val="B87E00"/>
        </w:rPr>
        <w:t xml:space="preserve">[Nom, prénom]</w:t>
      </w:r>
      <w:r>
        <w:t xml:space="preserve">, désigné par délibération du comité en date du </w:t>
      </w:r>
      <w:r>
        <w:rPr>
          <w:b/>
          <w:bCs/>
          <w:color w:val="B87E00"/>
        </w:rPr>
        <w:t xml:space="preserve">[date]</w:t>
      </w:r>
      <w:r>
        <w:t xml:space="preserve">.</w:t>
      </w:r>
    </w:p>
    <w:p>
      <w:pPr>
        <w:spacing w:after="140" w:line="300"/>
      </w:pPr>
      <w:r>
        <w:t xml:space="preserve">La remise a lieu le </w:t>
      </w:r>
      <w:r>
        <w:rPr>
          <w:b/>
          <w:bCs/>
          <w:color w:val="B87E00"/>
        </w:rPr>
        <w:t xml:space="preserve">[date]</w:t>
      </w:r>
      <w:r>
        <w:t xml:space="preserve"> à </w:t>
      </w:r>
      <w:r>
        <w:rPr>
          <w:b/>
          <w:bCs/>
          <w:color w:val="B87E00"/>
        </w:rPr>
        <w:t xml:space="preserve">[lieu]</w:t>
      </w:r>
      <w:r>
        <w:t xml:space="preserve">, en présence de </w:t>
      </w:r>
      <w:r>
        <w:rPr>
          <w:b/>
          <w:bCs/>
          <w:color w:val="B87E00"/>
        </w:rPr>
        <w:t xml:space="preserve">[Nom, prénom, qualité]</w:t>
      </w:r>
      <w:r>
        <w:t xml:space="preserve">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2. Éléments transmis</w:t>
      </w:r>
    </w:p>
    <w:p>
      <w:pPr>
        <w:spacing w:after="140" w:line="300"/>
      </w:pPr>
      <w:r>
        <w:rPr>
          <w:i/>
          <w:iCs/>
          <w:color w:val="5C6B7A"/>
          <w:sz w:val="18"/>
          <w:szCs w:val="18"/>
        </w:rPr>
        <w:t xml:space="preserve">Cocher la case lorsque l’élément a été effectivement remis. Porter en observations toute pièce manquante, incomplète ou réservée.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2100"/>
        <w:gridCol w:w="4260"/>
        <w:gridCol w:w="700"/>
        <w:gridCol w:w="2300"/>
      </w:tblGrid>
      <w:tr>
        <w:trPr>
          <w:tblHeader/>
        </w:trPr>
        <w:tc>
          <w:tcPr>
            <w:tcW w:type="dxa" w:w="21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Élément</w:t>
            </w:r>
          </w:p>
        </w:tc>
        <w:tc>
          <w:tcPr>
            <w:tcW w:type="dxa" w:w="42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Contenu attendu</w:t>
            </w:r>
          </w:p>
        </w:tc>
        <w:tc>
          <w:tcPr>
            <w:tcW w:type="dxa" w:w="7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Remis</w:t>
            </w:r>
          </w:p>
        </w:tc>
        <w:tc>
          <w:tcPr>
            <w:tcW w:type="dxa" w:w="23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Observations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Relevés bancaires</w:t>
            </w:r>
          </w:p>
        </w:tc>
        <w:tc>
          <w:tcPr>
            <w:tcW w:type="dxa" w:w="4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Tous les comptes, toutes les périodes de l’exercice en cours et des exercices antérieurs non archivés</w:t>
            </w:r>
          </w:p>
        </w:tc>
        <w:tc>
          <w:tcPr>
            <w:tcW w:type="dxa" w:w="7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Chéquiers et cartes</w:t>
            </w:r>
          </w:p>
        </w:tc>
        <w:tc>
          <w:tcPr>
            <w:tcW w:type="dxa" w:w="4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Inventaire des formules non utilisées, restitution des cartes bancaires du comité</w:t>
            </w:r>
          </w:p>
        </w:tc>
        <w:tc>
          <w:tcPr>
            <w:tcW w:type="dxa" w:w="7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Accès numériques</w:t>
            </w:r>
          </w:p>
        </w:tc>
        <w:tc>
          <w:tcPr>
            <w:tcW w:type="dxa" w:w="4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Identifiants de banque en ligne, messagerie du comité, espace de stockage, logiciel comptable</w:t>
            </w:r>
          </w:p>
        </w:tc>
        <w:tc>
          <w:tcPr>
            <w:tcW w:type="dxa" w:w="7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Factures et justificatifs</w:t>
            </w:r>
          </w:p>
        </w:tc>
        <w:tc>
          <w:tcPr>
            <w:tcW w:type="dxa" w:w="4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Classement par exercice et par budget, avec les bons de commande et les devis acceptés</w:t>
            </w:r>
          </w:p>
        </w:tc>
        <w:tc>
          <w:tcPr>
            <w:tcW w:type="dxa" w:w="7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Contrats en cours</w:t>
            </w:r>
          </w:p>
        </w:tc>
        <w:tc>
          <w:tcPr>
            <w:tcW w:type="dxa" w:w="4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Prestataires, assurances, abonnements : échéances et conditions de résiliation</w:t>
            </w:r>
          </w:p>
        </w:tc>
        <w:tc>
          <w:tcPr>
            <w:tcW w:type="dxa" w:w="7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Notes de frais</w:t>
            </w:r>
          </w:p>
        </w:tc>
        <w:tc>
          <w:tcPr>
            <w:tcW w:type="dxa" w:w="4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Notes validées et notes en attente, avec les justificatifs correspondants</w:t>
            </w:r>
          </w:p>
        </w:tc>
        <w:tc>
          <w:tcPr>
            <w:tcW w:type="dxa" w:w="7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Comptabilité</w:t>
            </w:r>
          </w:p>
        </w:tc>
        <w:tc>
          <w:tcPr>
            <w:tcW w:type="dxa" w:w="4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Sauvegarde et export des données, livre chronologique ou comptes annuels selon le régime applicable</w:t>
            </w:r>
          </w:p>
        </w:tc>
        <w:tc>
          <w:tcPr>
            <w:tcW w:type="dxa" w:w="7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Inventaire des biens</w:t>
            </w:r>
          </w:p>
        </w:tc>
        <w:tc>
          <w:tcPr>
            <w:tcW w:type="dxa" w:w="4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Matériel, mobilier, stocks de billetterie et de chèques cadeaux : localisation et valeur</w:t>
            </w:r>
          </w:p>
        </w:tc>
        <w:tc>
          <w:tcPr>
            <w:tcW w:type="dxa" w:w="7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Correspondances bancaires</w:t>
            </w:r>
          </w:p>
        </w:tc>
        <w:tc>
          <w:tcPr>
            <w:tcW w:type="dxa" w:w="4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Mandats en vigueur, habilitations à mettre à jour, courriers de l’établissement</w:t>
            </w:r>
          </w:p>
        </w:tc>
        <w:tc>
          <w:tcPr>
            <w:tcW w:type="dxa" w:w="7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Situation budgétaire</w:t>
            </w:r>
          </w:p>
        </w:tc>
        <w:tc>
          <w:tcPr>
            <w:tcW w:type="dxa" w:w="4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Engagements pris et non payés, commandes en cours, subventions attendues</w:t>
            </w:r>
          </w:p>
        </w:tc>
        <w:tc>
          <w:tcPr>
            <w:tcW w:type="dxa" w:w="7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Délibérations financières</w:t>
            </w:r>
          </w:p>
        </w:tc>
        <w:tc>
          <w:tcPr>
            <w:tcW w:type="dxa" w:w="4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42505F"/>
                <w:sz w:val="18"/>
                <w:szCs w:val="18"/>
              </w:rPr>
              <w:t xml:space="preserve">Clés de répartition votées, seuils d’autorisation, transferts d’excédents</w:t>
            </w:r>
          </w:p>
        </w:tc>
        <w:tc>
          <w:tcPr>
            <w:tcW w:type="dxa" w:w="7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            ]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3. Réserves et pièces manquantes</w:t>
      </w:r>
    </w:p>
    <w:p>
      <w:pPr>
        <w:spacing w:after="140" w:line="300"/>
      </w:pPr>
      <w:r>
        <w:rPr>
          <w:b/>
          <w:bCs/>
          <w:color w:val="B87E00"/>
        </w:rPr>
        <w:t xml:space="preserve">[Détailler ici les éléments non remis, les périodes manquantes ou les accès non transférés. À défaut, mentionner : aucune réserve.]</w:t>
      </w:r>
    </w:p>
    <w:p>
      <w:pPr>
        <w:spacing w:after="12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4. Mesures prises à la date de la remise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Retrait des habilitations bancaires du trésorier sortant auprès de </w:t>
      </w:r>
      <w:r>
        <w:rPr>
          <w:b/>
          <w:bCs/>
          <w:color w:val="B87E00"/>
        </w:rPr>
        <w:t xml:space="preserve">[établissement bancaire]</w:t>
      </w:r>
      <w:r>
        <w:t xml:space="preserve"> : </w:t>
      </w:r>
      <w:r>
        <w:rPr>
          <w:b/>
          <w:bCs/>
          <w:color w:val="B87E00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Dépôt du nouveau mandat bancaire au nom du trésorier entrant : </w:t>
      </w:r>
      <w:r>
        <w:rPr>
          <w:b/>
          <w:bCs/>
          <w:color w:val="B87E00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Modification des identifiants et des droits d’accès aux outils numériques : </w:t>
      </w:r>
      <w:r>
        <w:rPr>
          <w:b/>
          <w:bCs/>
          <w:color w:val="B87E00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Restitution des moyens de paiement (cartes, chéquiers, formules non utilisées) : </w:t>
      </w:r>
      <w:r>
        <w:rPr>
          <w:b/>
          <w:bCs/>
          <w:color w:val="B87E00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Information de l’expert-comptable ou du commissaire aux comptes, le cas échéant : </w:t>
      </w:r>
      <w:r>
        <w:rPr>
          <w:b/>
          <w:bCs/>
          <w:color w:val="B87E00"/>
        </w:rPr>
        <w:t xml:space="preserve">[date]</w:t>
      </w:r>
    </w:p>
    <w:p>
      <w:pPr>
        <w:spacing w:after="2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trésorier sortant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trésorier entrant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secrétaire du CSE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200"/>
      </w:pPr>
      <w:r>
        <w:rPr>
          <w:sz w:val="19"/>
          <w:szCs w:val="19"/>
        </w:rPr>
        <w:t xml:space="preserve">Fait à </w:t>
      </w:r>
      <w:r>
        <w:rPr>
          <w:b/>
          <w:bCs/>
          <w:color w:val="B87E00"/>
        </w:rPr>
        <w:t xml:space="preserve">[lieu]</w:t>
      </w:r>
      <w:r>
        <w:rPr>
          <w:sz w:val="19"/>
          <w:szCs w:val="19"/>
        </w:rPr>
        <w:t xml:space="preserve">, le </w:t>
      </w:r>
      <w:r>
        <w:rPr>
          <w:b/>
          <w:bCs/>
          <w:color w:val="B87E00"/>
        </w:rPr>
        <w:t xml:space="preserve">[date]</w:t>
      </w:r>
      <w:r>
        <w:rPr>
          <w:sz w:val="19"/>
          <w:szCs w:val="19"/>
        </w:rPr>
        <w:t xml:space="preserve">   Établi en trois exemplaires originaux.</w:t>
      </w:r>
    </w:p>
    <w:p>
      <w:pPr>
        <w:spacing w:before="80"/>
        <w:jc w:val="center"/>
      </w:pPr>
      <w:r>
        <w:rPr>
          <w:rFonts w:ascii="Calibri" w:cs="Calibri" w:eastAsia="Calibri" w:hAnsi="Calibri"/>
          <w:i/>
          <w:iCs/>
          <w:color w:val="5C6B7A"/>
          <w:sz w:val="15"/>
          <w:szCs w:val="15"/>
        </w:rPr>
        <w:t xml:space="preserve">Modèle mis à disposition par Osez Vos Droits — osezvosdroits.com  |  Document à adapter au règlement intérieur de votre comité.</w:t>
      </w:r>
    </w:p>
    <w:sectPr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>
      <w:pPr>
        <w:spacing w:line="29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2026-07-25T12:55:50.650Z</dcterms:created>
  <dcterms:modified xsi:type="dcterms:W3CDTF">2026-07-25T12:55:50.650Z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